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84F2" w14:textId="0CB3E4FA" w:rsidR="0034357B" w:rsidRPr="00DD73D2" w:rsidRDefault="00BF49F9" w:rsidP="0034357B">
      <w:pPr>
        <w:pStyle w:val="BodyText2"/>
      </w:pPr>
      <w:r>
        <w:rPr>
          <w:rFonts w:eastAsia="Times New Roman"/>
          <w:bCs/>
          <w:color w:val="000000"/>
          <w:sz w:val="48"/>
          <w:szCs w:val="48"/>
          <w:lang w:eastAsia="en-CA"/>
        </w:rPr>
        <w:t>Central</w:t>
      </w:r>
      <w:r w:rsidR="00734595">
        <w:rPr>
          <w:rFonts w:eastAsia="Times New Roman"/>
          <w:bCs/>
          <w:color w:val="000000"/>
          <w:sz w:val="48"/>
          <w:szCs w:val="48"/>
          <w:lang w:eastAsia="en-CA"/>
        </w:rPr>
        <w:t xml:space="preserve"> </w:t>
      </w:r>
      <w:r w:rsidR="0034357B">
        <w:rPr>
          <w:rFonts w:eastAsia="Times New Roman"/>
          <w:bCs/>
          <w:color w:val="000000"/>
          <w:sz w:val="48"/>
          <w:szCs w:val="48"/>
          <w:lang w:eastAsia="en-CA"/>
        </w:rPr>
        <w:t>Ontario</w:t>
      </w:r>
      <w:r w:rsidR="0034357B" w:rsidRPr="00DD73D2">
        <w:rPr>
          <w:rFonts w:eastAsia="Times New Roman"/>
          <w:bCs/>
          <w:color w:val="000000"/>
          <w:sz w:val="48"/>
          <w:szCs w:val="48"/>
          <w:lang w:eastAsia="en-CA"/>
        </w:rPr>
        <w:t xml:space="preserve"> — Key Messages</w:t>
      </w:r>
      <w:r w:rsidR="0034357B" w:rsidRPr="00DD73D2">
        <w:t xml:space="preserve"> </w:t>
      </w:r>
    </w:p>
    <w:p w14:paraId="488C0F21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02D4F50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the BuildForce Canada Labour Market Information (LMI) system work?</w:t>
      </w:r>
    </w:p>
    <w:p w14:paraId="2548803D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BuildForce Canada LMI system uses a scenario-based forecasting system to assess future construction labour requirements in the heavy industrial, residential, and non-residential construction markets. </w:t>
      </w:r>
    </w:p>
    <w:p w14:paraId="696C654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E760259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34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occupations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validates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stakeholders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including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owners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contractors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groups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distilled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market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condition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rankings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help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employers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management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their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respective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human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resources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14:paraId="1044FAF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59BD637" w14:textId="5A87A0E2" w:rsid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="0034357B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Ontario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separately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each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rather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than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province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whole</w:t>
      </w:r>
      <w:r w:rsidR="001A37F4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</w:p>
    <w:p w14:paraId="2033E2E2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9F1203A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Central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26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31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</w:p>
    <w:p w14:paraId="4A5C5CC4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Eastern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and 27 non-residential); </w:t>
      </w:r>
    </w:p>
    <w:p w14:paraId="75ACF8C2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Northern (15 residential and 22 non-residential); </w:t>
      </w:r>
    </w:p>
    <w:p w14:paraId="56B795C1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Southwestern (21 residential and 27 non-residential); and </w:t>
      </w:r>
    </w:p>
    <w:p w14:paraId="78B7F9AD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 Greater Toronto Area (GTA) (2</w:t>
      </w:r>
      <w:r w:rsidR="0087192A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7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residential and </w:t>
      </w:r>
      <w:r w:rsidR="0087192A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non-residential). </w:t>
      </w:r>
    </w:p>
    <w:p w14:paraId="46C6FA93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15C4EC3" w14:textId="1257A0F8" w:rsidR="0034357B" w:rsidRP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cases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where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workforce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samples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too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small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those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suppressed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limited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statistical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reliability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0D466CCE" w14:textId="77777777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16E253C7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31EC" w14:textId="4E60E8C8" w:rsidR="00B75162" w:rsidRPr="00DD73D2" w:rsidRDefault="00B75162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2F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Province of Ontario</w:t>
            </w:r>
          </w:p>
          <w:p w14:paraId="3EA9E5D1" w14:textId="771489B6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75162" w:rsidRPr="00DD73D2" w14:paraId="261E2755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C3F3" w14:textId="77777777" w:rsidR="00B75162" w:rsidRPr="00DD73D2" w:rsidRDefault="00B75162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68A5B1A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A7D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99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4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AA556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34357B" w:rsidRPr="00DD73D2" w14:paraId="250815F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718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71D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9437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3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5327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A428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4110</w:t>
            </w:r>
          </w:p>
        </w:tc>
      </w:tr>
      <w:tr w:rsidR="0034357B" w:rsidRPr="00DD73D2" w14:paraId="45EE50BF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FB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C7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DE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E23C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32B2B711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A9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0F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4BB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23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01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0F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0C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9D4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CA7ED66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93A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359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6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B97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E3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FF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599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4C6F7F0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438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ABB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F3A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C4F00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41F78F27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D9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0CD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E9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8DF33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07E3D7D1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BAD0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9A18F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100643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7D7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55801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CC8A55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44842</w:t>
            </w:r>
          </w:p>
        </w:tc>
      </w:tr>
      <w:tr w:rsidR="0034357B" w:rsidRPr="00DD73D2" w14:paraId="01EF0B6A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6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5B5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1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77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C4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82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FE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1017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30374ECA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8CE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2A0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22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72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8B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4D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EC2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0DBACC1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A6E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001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B5F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FF083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70A03C6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45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471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78866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70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39685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EA297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39181</w:t>
            </w:r>
          </w:p>
        </w:tc>
      </w:tr>
      <w:tr w:rsidR="0034357B" w:rsidRPr="00DD73D2" w14:paraId="08250884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AAC3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E7235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0311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D89523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7978F4E8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A53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8BB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22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F7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35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F2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C6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43BA" w14:textId="77777777" w:rsidR="0034357B" w:rsidRPr="00DD73D2" w:rsidRDefault="0034357B" w:rsidP="00C076F4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23161A0F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D48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68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B1C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CE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7C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82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656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0176B" w:rsidRPr="00DD73D2" w14:paraId="60C0D79D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6E9" w14:textId="77777777" w:rsidR="0040176B" w:rsidRPr="00DD73D2" w:rsidRDefault="0040176B" w:rsidP="004017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ABB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9B7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48CF8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1379C6A8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3D9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8AA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CC3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6E7D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6FF374A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6C57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1528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21777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89E2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16116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78EB9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5661</w:t>
            </w:r>
          </w:p>
        </w:tc>
      </w:tr>
      <w:tr w:rsidR="0034357B" w:rsidRPr="00DD73D2" w14:paraId="3CD749AC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EC7E3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34357B" w:rsidRPr="00DD73D2" w14:paraId="624741E1" w14:textId="77777777" w:rsidTr="00C076F4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22F2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2B751B8" w14:textId="77777777" w:rsidR="0034357B" w:rsidRPr="005B5DE4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7C0E787B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DD24" w14:textId="4ABBF44D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Summary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</w:t>
            </w:r>
            <w:r w:rsidR="00BF49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Central</w:t>
            </w:r>
            <w:r w:rsidR="00757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Ontario</w:t>
            </w:r>
          </w:p>
        </w:tc>
      </w:tr>
      <w:tr w:rsidR="00B75162" w:rsidRPr="00DD73D2" w14:paraId="280867BB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ED24" w14:textId="4D2EE45B" w:rsidR="00B75162" w:rsidRPr="00DD73D2" w:rsidRDefault="00B75162" w:rsidP="00B7516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 </w:t>
            </w:r>
          </w:p>
        </w:tc>
      </w:tr>
      <w:tr w:rsidR="00BF49F9" w:rsidRPr="00DD73D2" w14:paraId="26A91E4A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28C1" w14:textId="34054227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5A52" w14:textId="48C7ABA2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A5F9" w14:textId="2F103B0C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F5256A" w14:textId="1CB602FE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BF49F9" w:rsidRPr="00DD73D2" w14:paraId="787BC434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BB00" w14:textId="0D9D96A1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B8BC" w14:textId="71A8557C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2922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AD95" w14:textId="61E45C52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80A31" w14:textId="10B6B3BF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2215</w:t>
            </w:r>
          </w:p>
        </w:tc>
      </w:tr>
      <w:tr w:rsidR="00BF49F9" w:rsidRPr="00DD73D2" w14:paraId="12997D1C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E6E4" w14:textId="4C1A66D3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972A" w14:textId="2BE78E96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F408" w14:textId="6D55D37A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5C594" w14:textId="109ED800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2735</w:t>
            </w:r>
          </w:p>
        </w:tc>
      </w:tr>
      <w:tr w:rsidR="00BF49F9" w:rsidRPr="00DD73D2" w14:paraId="1388BDE3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5372" w14:textId="38D12209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FFB4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5437" w14:textId="77777777" w:rsidR="00BF49F9" w:rsidRPr="00DD73D2" w:rsidRDefault="00BF49F9" w:rsidP="00BF49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81D3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25D7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66B3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A057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161B" w14:textId="4A138949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F49F9" w:rsidRPr="00DD73D2" w14:paraId="35B44284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6A27" w14:textId="6A86A370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5F51" w14:textId="77777777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77BA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D11E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4EBB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25E4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25A04" w14:textId="4A38EB6F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F49F9" w:rsidRPr="00DD73D2" w14:paraId="10497CF4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8D7B" w14:textId="04ACE2CF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851E" w14:textId="7785DEBC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BD24" w14:textId="65BED3B2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5007D6" w14:textId="64CC482D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2735</w:t>
            </w:r>
          </w:p>
        </w:tc>
      </w:tr>
      <w:tr w:rsidR="00BF49F9" w:rsidRPr="00DD73D2" w14:paraId="393B33C7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58CE" w14:textId="0BF9D180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D191" w14:textId="09E6C53D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18117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95E5" w14:textId="75296F4D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10716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915373" w14:textId="519FDB60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7401</w:t>
            </w:r>
          </w:p>
        </w:tc>
      </w:tr>
      <w:tr w:rsidR="00BF49F9" w:rsidRPr="00DD73D2" w14:paraId="4BFE040F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F3E1A55" w14:textId="7CAFDC32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C84FBD4" w14:textId="019F60B4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22060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4BDE2C3" w14:textId="5A4D9AA7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11924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3B1184C" w14:textId="6E32DA86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10136</w:t>
            </w:r>
          </w:p>
        </w:tc>
      </w:tr>
      <w:tr w:rsidR="00BF49F9" w:rsidRPr="00DD73D2" w14:paraId="2DBAE546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953A" w14:textId="2FF6348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D3D8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F662" w14:textId="77777777" w:rsidR="00BF49F9" w:rsidRPr="00DD73D2" w:rsidRDefault="00BF49F9" w:rsidP="00BF49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038B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9B60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8E56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58A1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1D4BB" w14:textId="1349DD9C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F49F9" w:rsidRPr="00DD73D2" w14:paraId="78B2473E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7203" w14:textId="13C776DA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D726" w14:textId="77777777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A29A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A09A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DF55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90E1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BC8C7" w14:textId="6627401E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F49F9" w:rsidRPr="00DD73D2" w14:paraId="433C7CFB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0444" w14:textId="0AD39E36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9087" w14:textId="736932E3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18117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4D21" w14:textId="25D2344A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10716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80CCC6" w14:textId="0C2CBE3F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7401</w:t>
            </w:r>
          </w:p>
        </w:tc>
      </w:tr>
      <w:tr w:rsidR="00BF49F9" w:rsidRPr="00DD73D2" w14:paraId="4380899E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73BE" w14:textId="2B8B35AE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E93B" w14:textId="16970FEF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20722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78E4" w14:textId="3C4AEE62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11382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8DA85B" w14:textId="21A80609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9340</w:t>
            </w:r>
          </w:p>
        </w:tc>
      </w:tr>
      <w:tr w:rsidR="00BF49F9" w:rsidRPr="00DD73D2" w14:paraId="486E688B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2C5514" w14:textId="45FC5858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C8C293" w14:textId="7CD5EFF9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-2605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0DD40DE" w14:textId="366412A7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-666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30E58B8" w14:textId="382C596D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-1939</w:t>
            </w:r>
          </w:p>
        </w:tc>
      </w:tr>
      <w:tr w:rsidR="00BF49F9" w:rsidRPr="00DD73D2" w14:paraId="3F287521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6896" w14:textId="186F6C63" w:rsidR="00BF49F9" w:rsidRPr="00DD73D2" w:rsidRDefault="00BF49F9" w:rsidP="00BF49F9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1A9B" w14:textId="77777777" w:rsidR="00BF49F9" w:rsidRPr="00DD73D2" w:rsidRDefault="00BF49F9" w:rsidP="00BF49F9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9D87" w14:textId="77777777" w:rsidR="00BF49F9" w:rsidRPr="00DD73D2" w:rsidRDefault="00BF49F9" w:rsidP="00BF49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0934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DC78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B37F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E90C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705E" w14:textId="059DD7E0" w:rsidR="00BF49F9" w:rsidRPr="00DD73D2" w:rsidRDefault="00BF49F9" w:rsidP="00BF49F9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F49F9" w:rsidRPr="00DD73D2" w14:paraId="59DAD599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4890" w14:textId="136F71E9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7110" w14:textId="77777777" w:rsidR="00BF49F9" w:rsidRPr="00DD73D2" w:rsidRDefault="00BF49F9" w:rsidP="00BF49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47DC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7C9E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8DFE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25E4" w14:textId="77777777" w:rsidR="00BF49F9" w:rsidRPr="00DD73D2" w:rsidRDefault="00BF49F9" w:rsidP="00BF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03C6C" w14:textId="3571C0B3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F49F9" w:rsidRPr="00DD73D2" w14:paraId="6222FFF0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2AAB" w14:textId="67FA70B0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C507" w14:textId="0DC1EBBA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6E64" w14:textId="637D059A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CCBCB" w14:textId="4E4CC647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2735</w:t>
            </w:r>
          </w:p>
        </w:tc>
      </w:tr>
      <w:tr w:rsidR="00BF49F9" w:rsidRPr="00DD73D2" w14:paraId="089B9191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882E" w14:textId="725F69C2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3F6D" w14:textId="51691AC1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-2605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1609" w14:textId="483451E1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-666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21E27" w14:textId="1A35F091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-1939</w:t>
            </w:r>
          </w:p>
        </w:tc>
      </w:tr>
      <w:tr w:rsidR="00BF49F9" w:rsidRPr="00DD73D2" w14:paraId="1A0AACE8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2C2185" w14:textId="225ABDA0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0ECDD8" w14:textId="0E295987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5FBD233" w14:textId="635C3E92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8BBDC99" w14:textId="64D95F86" w:rsidR="00BF49F9" w:rsidRPr="00DD73D2" w:rsidRDefault="00BF49F9" w:rsidP="00BF49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796</w:t>
            </w:r>
          </w:p>
        </w:tc>
      </w:tr>
      <w:tr w:rsidR="00BF49F9" w:rsidRPr="00DD73D2" w14:paraId="2E582C2F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7F329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BF49F9" w:rsidRPr="00DD73D2" w14:paraId="34180CC5" w14:textId="77777777" w:rsidTr="00CB37AC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A3DB13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F49F9" w:rsidRPr="00DD73D2" w14:paraId="5BB5005A" w14:textId="77777777" w:rsidTr="00C076F4">
        <w:trPr>
          <w:trHeight w:val="293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AEA322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9DB74F4" w14:textId="77777777" w:rsidR="00504AAD" w:rsidRPr="005B5DE4" w:rsidRDefault="00504AAD" w:rsidP="0050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0E78494" w14:textId="0D28D6FB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OVERALL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BF49F9"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Central</w:t>
      </w:r>
      <w:r w:rsid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34595"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proofErr w:type="spellEnd"/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2020-2029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7D7B19D5" w14:textId="0CCD276C" w:rsidR="008D35B1" w:rsidRDefault="00BF49F9" w:rsidP="008D35B1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investment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forecast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grow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at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more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moderate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levels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2029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largest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gains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new-housing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xpected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between 2021 and 2022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accounting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approximately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3%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increase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overall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employment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Several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major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should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supplement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this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growth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such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major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hospital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Niagara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Falls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between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2022-2025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Hamilton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between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2025-2027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Barrie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Rail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Corridor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Expansion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will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also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increase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transportation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infrastructure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demands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after 2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020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while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regional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population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growth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will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drive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higher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demands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D35B1"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ommercial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industrial</w:t>
      </w:r>
      <w:r w:rsidRPr="00BF49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B30C1B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="008D35B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315E5DE1" w14:textId="77777777" w:rsidR="008D35B1" w:rsidRDefault="008D35B1" w:rsidP="008D35B1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25DED8E5" w14:textId="1AB42B8D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are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C4B1D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retire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in</w:t>
      </w:r>
      <w:r w:rsidR="005A3C02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F49F9"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Central</w:t>
      </w:r>
      <w:r w:rsidR="005A3C02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784BE7"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during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scenario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B30C1B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71338CC6" w14:textId="2ADDB66F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30C1B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5B1" w:rsidRPr="00B30C1B">
        <w:rPr>
          <w:rFonts w:ascii="Arial" w:hAnsi="Arial" w:cs="Arial"/>
          <w:color w:val="000000" w:themeColor="text1"/>
          <w:sz w:val="22"/>
          <w:szCs w:val="22"/>
        </w:rPr>
        <w:t>18,100</w:t>
      </w:r>
      <w:r w:rsidR="008D35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workers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5B1" w:rsidRPr="00B30C1B">
        <w:rPr>
          <w:rFonts w:ascii="Arial" w:hAnsi="Arial" w:cs="Arial"/>
          <w:color w:val="000000" w:themeColor="text1"/>
          <w:sz w:val="22"/>
          <w:szCs w:val="22"/>
        </w:rPr>
        <w:t>18,117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5B1" w:rsidRPr="00B30C1B">
        <w:rPr>
          <w:rFonts w:ascii="Arial" w:hAnsi="Arial" w:cs="Arial"/>
          <w:color w:val="000000" w:themeColor="text1"/>
          <w:sz w:val="22"/>
          <w:szCs w:val="22"/>
        </w:rPr>
        <w:t>17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%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C1B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81DE42" w14:textId="77777777" w:rsidR="00CB687B" w:rsidRDefault="00CB68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</w:p>
    <w:p w14:paraId="32039CB4" w14:textId="2ED0BA25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young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might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replace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them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0C06D69B" w14:textId="1AEB95DE" w:rsidR="00B30C1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8D35B1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20,700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(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8D35B1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20,722</w:t>
      </w:r>
      <w:r w:rsidR="00AC4B1D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)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new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entrants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aged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younger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local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population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should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available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based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historical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data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Consequently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recruitment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region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should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proofErr w:type="gramStart"/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sufficient</w:t>
      </w:r>
      <w:proofErr w:type="gramEnd"/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meet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retirement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demands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.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However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even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at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these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levels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proofErr w:type="spellStart"/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labour</w:t>
      </w:r>
      <w:proofErr w:type="spellEnd"/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force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may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short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some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1,300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workers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by 2029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that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will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need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recruited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region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province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construction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industry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country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keep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pace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with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anticipated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construction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B30C1B" w:rsidRPr="00C0066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demands</w:t>
      </w:r>
      <w:r w:rsidR="00B30C1B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. </w:t>
      </w:r>
    </w:p>
    <w:p w14:paraId="76CA197A" w14:textId="77777777" w:rsidR="008D35B1" w:rsidRDefault="008D35B1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F7AA811" w14:textId="77777777" w:rsidR="00B30C1B" w:rsidRDefault="00B30C1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1FC7466" w14:textId="743424F4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84BE7"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meet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its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0066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needs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7D0A5D8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Meeting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demands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require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0066A">
        <w:rPr>
          <w:rFonts w:ascii="Arial" w:hAnsi="Arial" w:cs="Arial"/>
          <w:color w:val="000000" w:themeColor="text1"/>
          <w:sz w:val="22"/>
          <w:szCs w:val="22"/>
          <w:u w:color="0000FF"/>
        </w:rPr>
        <w:t>continuation</w:t>
      </w:r>
      <w:bookmarkStart w:id="0" w:name="_GoBack"/>
      <w:bookmarkEnd w:id="0"/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industry’s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collaboration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with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government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educational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8D35B1">
        <w:rPr>
          <w:rFonts w:ascii="Arial" w:hAnsi="Arial" w:cs="Arial"/>
          <w:color w:val="000000" w:themeColor="text1"/>
          <w:sz w:val="22"/>
          <w:szCs w:val="22"/>
          <w:u w:color="0000FF"/>
        </w:rPr>
        <w:t>institutions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bookmarkStart w:id="1" w:name="_Hlk31195053"/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providers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scale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up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capacity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. </w:t>
      </w:r>
      <w:bookmarkEnd w:id="1"/>
    </w:p>
    <w:p w14:paraId="11B2A9E3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</w:p>
    <w:p w14:paraId="0E2C129B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Worker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mobility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important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as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engaging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large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numbers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young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people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enter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construction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especially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face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record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retirements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>.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BD26D12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2AF1E2F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Increased recruitment of individuals from groups traditionally under-represented in the industry could help 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address future labour force needs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325D853" w14:textId="77777777" w:rsidR="0034357B" w:rsidRDefault="0034357B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9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20"/>
        <w:gridCol w:w="720"/>
        <w:gridCol w:w="720"/>
      </w:tblGrid>
      <w:tr w:rsidR="0034357B" w:rsidRPr="00DD73D2" w14:paraId="3035C018" w14:textId="77777777" w:rsidTr="00C076F4">
        <w:trPr>
          <w:trHeight w:val="300"/>
        </w:trPr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CD89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Under-represented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Groups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the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Construction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Labour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Force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B1B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657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1EA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52A04174" w14:textId="77777777" w:rsidTr="00C076F4">
        <w:trPr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C1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B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F8E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EF5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4B6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D6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AE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CD4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59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582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E3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4F9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E93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5D29ADC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2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27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ECA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Offsite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E42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Total 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967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ns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2A3CC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</w:tr>
      <w:tr w:rsidR="0034357B" w:rsidRPr="00DD73D2" w14:paraId="15074BE3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3E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bou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 Forc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87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521400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C8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126800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01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24.3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3F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4A1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75.7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D2C601C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1E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A57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65600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121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50400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3EA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47A" w14:textId="77777777" w:rsidR="0034357B" w:rsidRPr="00DD73D2" w:rsidRDefault="005A47BC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763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5248945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D5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Indigenous People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73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14078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3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9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9D57A6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15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11262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7F52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5170EF90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D6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Canadians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E59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135564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9B2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8C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E8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8B97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57B" w:rsidRPr="00DD73D2" w14:paraId="376E96AD" w14:textId="77777777" w:rsidTr="00C076F4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34A8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Percentages reported are based on actual totals, whereas numbers reported have been rounded.</w:t>
            </w:r>
          </w:p>
        </w:tc>
      </w:tr>
    </w:tbl>
    <w:p w14:paraId="289733E8" w14:textId="77777777" w:rsidR="005A47BC" w:rsidRDefault="005A47BC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402C38E" w14:textId="77777777" w:rsidR="0034357B" w:rsidRPr="005A47BC" w:rsidRDefault="0034357B" w:rsidP="0034357B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enough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914E59E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2" w:name="_Hlk31122493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analysis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suggests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while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fallen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not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kept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pace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with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found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case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more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often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smaller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non-compulsory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bookmarkEnd w:id="2"/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Across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Ontario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boilermakers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bricklayers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heavy-duty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equipment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technicians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industrial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electricians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welders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may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be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5A3C02">
        <w:rPr>
          <w:rFonts w:ascii="Arial" w:hAnsi="Arial" w:cs="Arial"/>
          <w:color w:val="000000" w:themeColor="text1"/>
          <w:sz w:val="22"/>
          <w:szCs w:val="22"/>
        </w:rPr>
        <w:t>at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risk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B9BFBB" w14:textId="77777777" w:rsidR="005A47BC" w:rsidRPr="005A47BC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DFD40E7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How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did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arrive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at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estimate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future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needs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7AF9AD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calculated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qualification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provincial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estimated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these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likely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going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employment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outlook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number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next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years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applied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rates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recent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registration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completion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trend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determine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level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maintain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share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6D3D112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708646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this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take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account</w:t>
      </w:r>
      <w:proofErr w:type="gramEnd"/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growth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18007420" w14:textId="77777777" w:rsid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very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experienced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driven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major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avoiding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mismatches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between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supply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skilled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primary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objective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this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approach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473A5CC" w14:textId="77777777" w:rsidR="005A47BC" w:rsidRPr="00DD73D2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AC697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purpose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Canada’s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4856B25A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It’s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tool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used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plan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However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during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forecast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period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subject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change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based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economic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conditions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available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factors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1050268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83A363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BuildForce Canada create its Labour Market Forecasts?</w:t>
      </w:r>
    </w:p>
    <w:p w14:paraId="33101B7F" w14:textId="21706A80" w:rsidR="00C076F4" w:rsidRDefault="0034357B" w:rsidP="00734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Through consultations with provincial construction and maintenance stakeholders, examining current trends, looking at current and historical data and examining project pipelines.</w:t>
      </w:r>
      <w:r w:rsidR="00D3045E" w:rsidRPr="00DD73D2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C076F4" w:rsidSect="00C076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E84"/>
    <w:multiLevelType w:val="hybridMultilevel"/>
    <w:tmpl w:val="FDF2DB74"/>
    <w:lvl w:ilvl="0" w:tplc="6E04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F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3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B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C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9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F0"/>
    <w:multiLevelType w:val="hybridMultilevel"/>
    <w:tmpl w:val="25DE13B0"/>
    <w:lvl w:ilvl="0" w:tplc="85BC1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B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C8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E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C8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A2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5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C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AA4"/>
    <w:multiLevelType w:val="hybridMultilevel"/>
    <w:tmpl w:val="E94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008"/>
    <w:multiLevelType w:val="hybridMultilevel"/>
    <w:tmpl w:val="C5CA50E2"/>
    <w:lvl w:ilvl="0" w:tplc="49386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89F66">
      <w:numFmt w:val="none"/>
      <w:lvlText w:val=""/>
      <w:lvlJc w:val="left"/>
      <w:pPr>
        <w:tabs>
          <w:tab w:val="num" w:pos="360"/>
        </w:tabs>
      </w:pPr>
    </w:lvl>
    <w:lvl w:ilvl="2" w:tplc="87F2C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42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2F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C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AC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8F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5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3302"/>
    <w:multiLevelType w:val="hybridMultilevel"/>
    <w:tmpl w:val="21668750"/>
    <w:lvl w:ilvl="0" w:tplc="A350A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8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6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9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E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E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4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6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169"/>
    <w:multiLevelType w:val="hybridMultilevel"/>
    <w:tmpl w:val="4446C502"/>
    <w:lvl w:ilvl="0" w:tplc="7F6CE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E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C7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45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46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4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31FE"/>
    <w:multiLevelType w:val="hybridMultilevel"/>
    <w:tmpl w:val="392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B"/>
    <w:rsid w:val="000655FD"/>
    <w:rsid w:val="001A37F4"/>
    <w:rsid w:val="001A64AF"/>
    <w:rsid w:val="001C45F2"/>
    <w:rsid w:val="0021441A"/>
    <w:rsid w:val="0034357B"/>
    <w:rsid w:val="00352434"/>
    <w:rsid w:val="0040176B"/>
    <w:rsid w:val="0041304A"/>
    <w:rsid w:val="00457958"/>
    <w:rsid w:val="00504AAD"/>
    <w:rsid w:val="00540AFB"/>
    <w:rsid w:val="005823AC"/>
    <w:rsid w:val="005A3C02"/>
    <w:rsid w:val="005A47BC"/>
    <w:rsid w:val="005B5DE4"/>
    <w:rsid w:val="005D7A6D"/>
    <w:rsid w:val="00605B05"/>
    <w:rsid w:val="00615110"/>
    <w:rsid w:val="006F20BE"/>
    <w:rsid w:val="007219BE"/>
    <w:rsid w:val="00732C0A"/>
    <w:rsid w:val="00734595"/>
    <w:rsid w:val="0075798E"/>
    <w:rsid w:val="00784BE7"/>
    <w:rsid w:val="00850937"/>
    <w:rsid w:val="0087192A"/>
    <w:rsid w:val="008D28D3"/>
    <w:rsid w:val="008D35B1"/>
    <w:rsid w:val="00976597"/>
    <w:rsid w:val="00977F28"/>
    <w:rsid w:val="009D57A6"/>
    <w:rsid w:val="009E6AFA"/>
    <w:rsid w:val="00A1183D"/>
    <w:rsid w:val="00A67F96"/>
    <w:rsid w:val="00AC4B1D"/>
    <w:rsid w:val="00AE1414"/>
    <w:rsid w:val="00B30C1B"/>
    <w:rsid w:val="00B365AA"/>
    <w:rsid w:val="00B75162"/>
    <w:rsid w:val="00B77174"/>
    <w:rsid w:val="00BF49F9"/>
    <w:rsid w:val="00C0066A"/>
    <w:rsid w:val="00C04C3C"/>
    <w:rsid w:val="00C076F4"/>
    <w:rsid w:val="00C44E60"/>
    <w:rsid w:val="00CB37AC"/>
    <w:rsid w:val="00CB687B"/>
    <w:rsid w:val="00D3045E"/>
    <w:rsid w:val="00D520FF"/>
    <w:rsid w:val="00DD295B"/>
    <w:rsid w:val="00E077B9"/>
    <w:rsid w:val="00ED4BBF"/>
    <w:rsid w:val="00F12F72"/>
    <w:rsid w:val="00F66190"/>
    <w:rsid w:val="00FA21F0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4C26"/>
  <w15:chartTrackingRefBased/>
  <w15:docId w15:val="{2F6D764C-50E6-3343-970C-0903A5E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4357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Arial"/>
      <w:b/>
      <w:color w:val="000000" w:themeColor="text1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357B"/>
    <w:rPr>
      <w:rFonts w:ascii="Arial" w:hAnsi="Arial" w:cs="Arial"/>
      <w:b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0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4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39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3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0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24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6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9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42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28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14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37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13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8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1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4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8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3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3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11FCE966FF46AC9D8526168BB092" ma:contentTypeVersion="12" ma:contentTypeDescription="Create a new document." ma:contentTypeScope="" ma:versionID="ad3d86381edbdd60f94bac0feaa10e92">
  <xsd:schema xmlns:xsd="http://www.w3.org/2001/XMLSchema" xmlns:xs="http://www.w3.org/2001/XMLSchema" xmlns:p="http://schemas.microsoft.com/office/2006/metadata/properties" xmlns:ns2="1597a5b1-1a9e-494c-97e8-d8a4ce941d9a" xmlns:ns3="4ee752db-4b3f-4e9a-a84b-7635a59403ce" targetNamespace="http://schemas.microsoft.com/office/2006/metadata/properties" ma:root="true" ma:fieldsID="1d1bf971a3cc1fda11c7e8fcdc66735e" ns2:_="" ns3:_="">
    <xsd:import namespace="1597a5b1-1a9e-494c-97e8-d8a4ce941d9a"/>
    <xsd:import namespace="4ee752db-4b3f-4e9a-a84b-7635a5940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a5b1-1a9e-494c-97e8-d8a4ce94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52db-4b3f-4e9a-a84b-7635a594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00EF0-93D3-4920-89AB-8D6182C54492}"/>
</file>

<file path=customXml/itemProps2.xml><?xml version="1.0" encoding="utf-8"?>
<ds:datastoreItem xmlns:ds="http://schemas.openxmlformats.org/officeDocument/2006/customXml" ds:itemID="{0C16C482-F40F-463C-89D1-769B00DCFBE9}"/>
</file>

<file path=customXml/itemProps3.xml><?xml version="1.0" encoding="utf-8"?>
<ds:datastoreItem xmlns:ds="http://schemas.openxmlformats.org/officeDocument/2006/customXml" ds:itemID="{C2F6B139-5A7F-43B2-B3BE-455E72878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Kenter</dc:creator>
  <cp:keywords/>
  <dc:description/>
  <cp:lastModifiedBy>Bill Ferreira</cp:lastModifiedBy>
  <cp:revision>5</cp:revision>
  <cp:lastPrinted>2020-01-31T14:43:00Z</cp:lastPrinted>
  <dcterms:created xsi:type="dcterms:W3CDTF">2020-01-31T14:44:00Z</dcterms:created>
  <dcterms:modified xsi:type="dcterms:W3CDTF">2020-01-31T16:38:00Z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0x010100CD6011FCE966FF46AC9D8526168BB092</vt:lpwstr>
  </property>
</Properties>
</file>